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jc w:val="center"/>
        <w:tblCellSpacing w:w="0" w:type="dxa"/>
        <w:tblCellMar>
          <w:top w:w="60" w:type="dxa"/>
          <w:left w:w="60" w:type="dxa"/>
          <w:bottom w:w="60" w:type="dxa"/>
          <w:right w:w="60" w:type="dxa"/>
        </w:tblCellMar>
        <w:tblLook w:val="04A0"/>
      </w:tblPr>
      <w:tblGrid>
        <w:gridCol w:w="10620"/>
      </w:tblGrid>
      <w:tr w:rsidR="00CC2AB5" w:rsidTr="00D833E7">
        <w:trPr>
          <w:tblCellSpacing w:w="0" w:type="dxa"/>
          <w:jc w:val="center"/>
        </w:trPr>
        <w:tc>
          <w:tcPr>
            <w:tcW w:w="0" w:type="auto"/>
            <w:vAlign w:val="center"/>
            <w:hideMark/>
          </w:tcPr>
          <w:tbl>
            <w:tblPr>
              <w:tblW w:w="10500" w:type="dxa"/>
              <w:jc w:val="center"/>
              <w:tblCellSpacing w:w="0" w:type="dxa"/>
              <w:tblCellMar>
                <w:top w:w="60" w:type="dxa"/>
                <w:left w:w="60" w:type="dxa"/>
                <w:bottom w:w="60" w:type="dxa"/>
                <w:right w:w="60" w:type="dxa"/>
              </w:tblCellMar>
              <w:tblLook w:val="04A0"/>
            </w:tblPr>
            <w:tblGrid>
              <w:gridCol w:w="10500"/>
            </w:tblGrid>
            <w:tr w:rsidR="00924948" w:rsidRPr="00D833E7" w:rsidTr="00924948">
              <w:trPr>
                <w:tblCellSpacing w:w="0" w:type="dxa"/>
                <w:jc w:val="center"/>
              </w:trPr>
              <w:tc>
                <w:tcPr>
                  <w:tcW w:w="0" w:type="auto"/>
                  <w:vAlign w:val="center"/>
                  <w:hideMark/>
                </w:tcPr>
                <w:p w:rsidR="00924948" w:rsidRPr="00D833E7" w:rsidRDefault="00924948">
                  <w:pPr>
                    <w:spacing w:line="360" w:lineRule="auto"/>
                    <w:rPr>
                      <w:rFonts w:ascii="Arial" w:hAnsi="Arial" w:cs="Arial"/>
                      <w:b/>
                      <w:bCs/>
                      <w:iCs/>
                      <w:sz w:val="30"/>
                      <w:szCs w:val="30"/>
                    </w:rPr>
                  </w:pPr>
                  <w:r w:rsidRPr="00D833E7">
                    <w:rPr>
                      <w:rFonts w:ascii="Arial" w:hAnsi="Arial" w:cs="Arial"/>
                      <w:b/>
                      <w:bCs/>
                      <w:iCs/>
                      <w:sz w:val="30"/>
                      <w:szCs w:val="30"/>
                    </w:rPr>
                    <w:t xml:space="preserve">Food </w:t>
                  </w:r>
                  <w:proofErr w:type="spellStart"/>
                  <w:r w:rsidRPr="00D833E7">
                    <w:rPr>
                      <w:rFonts w:ascii="Arial" w:hAnsi="Arial" w:cs="Arial"/>
                      <w:b/>
                      <w:bCs/>
                      <w:iCs/>
                      <w:sz w:val="30"/>
                      <w:szCs w:val="30"/>
                    </w:rPr>
                    <w:t>Contact</w:t>
                  </w:r>
                  <w:proofErr w:type="spellEnd"/>
                  <w:r w:rsidRPr="00D833E7">
                    <w:rPr>
                      <w:rFonts w:ascii="Arial" w:hAnsi="Arial" w:cs="Arial"/>
                      <w:b/>
                      <w:bCs/>
                      <w:iCs/>
                      <w:sz w:val="30"/>
                      <w:szCs w:val="30"/>
                    </w:rPr>
                    <w:t xml:space="preserve"> Materials </w:t>
                  </w:r>
                </w:p>
              </w:tc>
            </w:tr>
            <w:tr w:rsidR="00924948" w:rsidRPr="00D833E7" w:rsidTr="00924948">
              <w:trPr>
                <w:tblCellSpacing w:w="0" w:type="dxa"/>
                <w:jc w:val="center"/>
              </w:trPr>
              <w:tc>
                <w:tcPr>
                  <w:tcW w:w="0" w:type="auto"/>
                  <w:vAlign w:val="center"/>
                  <w:hideMark/>
                </w:tcPr>
                <w:p w:rsidR="00924948" w:rsidRPr="00D833E7" w:rsidRDefault="00924948">
                  <w:pPr>
                    <w:pStyle w:val="StandardWeb"/>
                    <w:spacing w:line="360" w:lineRule="auto"/>
                    <w:rPr>
                      <w:rFonts w:ascii="Arial" w:hAnsi="Arial" w:cs="Arial"/>
                      <w:sz w:val="22"/>
                    </w:rPr>
                  </w:pPr>
                  <w:r w:rsidRPr="00D833E7">
                    <w:rPr>
                      <w:rFonts w:ascii="Arial" w:hAnsi="Arial" w:cs="Arial"/>
                      <w:sz w:val="22"/>
                    </w:rPr>
                    <w:t xml:space="preserve">Kunststoffe spielen heute auch im Lebensmittelbereich eine große, nicht wegzudenkende Rolle. Häufig werden sie in Form von Verpackungsmaterialien und anderen Gegenständen im Kontakt mit Lebensmitteln eingesetzt. Es gibt eine Vielzahl von Kunststoffarten, die aber grundsätzlich immer aus dem spezifischen Polymer, aus sogenannten Additiven wie Stabilisatoren u.a. und eventuell notwendigen technischen Hilfsstoffen aufgebaut sind. </w:t>
                  </w:r>
                </w:p>
                <w:p w:rsidR="00924948" w:rsidRPr="00D833E7" w:rsidRDefault="00924948">
                  <w:pPr>
                    <w:pStyle w:val="StandardWeb"/>
                    <w:spacing w:line="360" w:lineRule="auto"/>
                    <w:rPr>
                      <w:rFonts w:ascii="Arial" w:hAnsi="Arial" w:cs="Arial"/>
                      <w:sz w:val="22"/>
                    </w:rPr>
                  </w:pPr>
                  <w:r w:rsidRPr="00D833E7">
                    <w:rPr>
                      <w:rFonts w:ascii="Arial" w:hAnsi="Arial" w:cs="Arial"/>
                      <w:sz w:val="22"/>
                    </w:rPr>
                    <w:t xml:space="preserve">In der Bundesrepublik Deutschland hat man sich schon sehr frühzeitig mit der Frage der gesundheitlichen Unbedenklichkeit von Kunststoffen im </w:t>
                  </w:r>
                  <w:r w:rsidR="00D833E7">
                    <w:rPr>
                      <w:rFonts w:ascii="Arial" w:hAnsi="Arial" w:cs="Arial"/>
                      <w:noProof/>
                      <w:sz w:val="22"/>
                    </w:rPr>
                    <w:drawing>
                      <wp:anchor distT="0" distB="0" distL="0" distR="0" simplePos="0" relativeHeight="251660288" behindDoc="0" locked="0" layoutInCell="1" allowOverlap="0">
                        <wp:simplePos x="0" y="0"/>
                        <wp:positionH relativeFrom="column">
                          <wp:posOffset>4977130</wp:posOffset>
                        </wp:positionH>
                        <wp:positionV relativeFrom="line">
                          <wp:posOffset>-2341245</wp:posOffset>
                        </wp:positionV>
                        <wp:extent cx="1621790" cy="1909445"/>
                        <wp:effectExtent l="19050" t="0" r="0" b="0"/>
                        <wp:wrapSquare wrapText="bothSides"/>
                        <wp:docPr id="9" name="Bild 9" descr="http://www.lci-koeln.de/bilder/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ci-koeln.de/bilder/food.jpg"/>
                                <pic:cNvPicPr>
                                  <a:picLocks noChangeAspect="1" noChangeArrowheads="1"/>
                                </pic:cNvPicPr>
                              </pic:nvPicPr>
                              <pic:blipFill>
                                <a:blip r:embed="rId8" cstate="print"/>
                                <a:srcRect/>
                                <a:stretch>
                                  <a:fillRect/>
                                </a:stretch>
                              </pic:blipFill>
                              <pic:spPr bwMode="auto">
                                <a:xfrm>
                                  <a:off x="0" y="0"/>
                                  <a:ext cx="1621790" cy="1909445"/>
                                </a:xfrm>
                                <a:prstGeom prst="rect">
                                  <a:avLst/>
                                </a:prstGeom>
                                <a:noFill/>
                                <a:ln w="9525">
                                  <a:noFill/>
                                  <a:miter lim="800000"/>
                                  <a:headEnd/>
                                  <a:tailEnd/>
                                </a:ln>
                              </pic:spPr>
                            </pic:pic>
                          </a:graphicData>
                        </a:graphic>
                      </wp:anchor>
                    </w:drawing>
                  </w:r>
                  <w:r w:rsidRPr="00D833E7">
                    <w:rPr>
                      <w:rFonts w:ascii="Arial" w:hAnsi="Arial" w:cs="Arial"/>
                      <w:sz w:val="22"/>
                    </w:rPr>
                    <w:t xml:space="preserve">Kontakt mit Lebensmitteln </w:t>
                  </w:r>
                  <w:r w:rsidR="004520C5" w:rsidRPr="00D833E7">
                    <w:rPr>
                      <w:rFonts w:ascii="Arial" w:hAnsi="Arial" w:cs="Arial"/>
                      <w:sz w:val="22"/>
                    </w:rPr>
                    <w:t>befasst</w:t>
                  </w:r>
                  <w:r w:rsidRPr="00D833E7">
                    <w:rPr>
                      <w:rFonts w:ascii="Arial" w:hAnsi="Arial" w:cs="Arial"/>
                      <w:sz w:val="22"/>
                    </w:rPr>
                    <w:t xml:space="preserve">. Zu diesem Zweck wurde 1957 beim damaligen Bundesgesundheitsamt die sog. </w:t>
                  </w:r>
                  <w:r w:rsidRPr="00D833E7">
                    <w:rPr>
                      <w:rFonts w:ascii="Arial" w:hAnsi="Arial" w:cs="Arial"/>
                      <w:b/>
                      <w:bCs/>
                      <w:i/>
                      <w:iCs/>
                      <w:sz w:val="22"/>
                    </w:rPr>
                    <w:t>Kunststoff-Kommission</w:t>
                  </w:r>
                  <w:r w:rsidRPr="00D833E7">
                    <w:rPr>
                      <w:rFonts w:ascii="Arial" w:hAnsi="Arial" w:cs="Arial"/>
                      <w:sz w:val="22"/>
                    </w:rPr>
                    <w:t xml:space="preserve"> gegründet. Diese "Kommission für die gesundheitliche Beurteilung von Kunststoffen und anderen Polymeren im Rahmen des Lebens- und Bedarfsgegenständegesetzes" ist derzeitig dem Bundesinstitut für gesundheitlichen Verbraucherschutz und Veterinärmedizin (</w:t>
                  </w:r>
                  <w:proofErr w:type="spellStart"/>
                  <w:r w:rsidRPr="00D833E7">
                    <w:rPr>
                      <w:rFonts w:ascii="Arial" w:hAnsi="Arial" w:cs="Arial"/>
                      <w:sz w:val="22"/>
                    </w:rPr>
                    <w:t>BgVV</w:t>
                  </w:r>
                  <w:proofErr w:type="spellEnd"/>
                  <w:r w:rsidRPr="00D833E7">
                    <w:rPr>
                      <w:rFonts w:ascii="Arial" w:hAnsi="Arial" w:cs="Arial"/>
                      <w:sz w:val="22"/>
                    </w:rPr>
                    <w:t xml:space="preserve">) in Berlin zugeordnet. Kürzlich fand die 104. Sitzung dieser Kommission statt, so </w:t>
                  </w:r>
                  <w:r w:rsidR="004520C5" w:rsidRPr="00D833E7">
                    <w:rPr>
                      <w:rFonts w:ascii="Arial" w:hAnsi="Arial" w:cs="Arial"/>
                      <w:sz w:val="22"/>
                    </w:rPr>
                    <w:t>dass</w:t>
                  </w:r>
                  <w:r w:rsidRPr="00D833E7">
                    <w:rPr>
                      <w:rFonts w:ascii="Arial" w:hAnsi="Arial" w:cs="Arial"/>
                      <w:sz w:val="22"/>
                    </w:rPr>
                    <w:t xml:space="preserve"> inzwischen auf eine äußerst umfangreiche und erfolgreiche Arbeit zurückgeblickt werden kann. In die Kunststoff-Kommission werden ausgewiesene Experten wie z.B. Lebensmittelchemiker, Chemiker, Toxikologen, Mediziner aus verschiedenen Gebieten wie Wissenschaft und Forschung, Lebensmitteluntersuchung/-</w:t>
                  </w:r>
                  <w:proofErr w:type="spellStart"/>
                  <w:r w:rsidRPr="00D833E7">
                    <w:rPr>
                      <w:rFonts w:ascii="Arial" w:hAnsi="Arial" w:cs="Arial"/>
                      <w:sz w:val="22"/>
                    </w:rPr>
                    <w:t>überwachung</w:t>
                  </w:r>
                  <w:proofErr w:type="spellEnd"/>
                  <w:r w:rsidRPr="00D833E7">
                    <w:rPr>
                      <w:rFonts w:ascii="Arial" w:hAnsi="Arial" w:cs="Arial"/>
                      <w:sz w:val="22"/>
                    </w:rPr>
                    <w:t xml:space="preserve">, </w:t>
                  </w:r>
                  <w:proofErr w:type="spellStart"/>
                  <w:r w:rsidRPr="00D833E7">
                    <w:rPr>
                      <w:rFonts w:ascii="Arial" w:hAnsi="Arial" w:cs="Arial"/>
                      <w:sz w:val="22"/>
                    </w:rPr>
                    <w:t>BgVV</w:t>
                  </w:r>
                  <w:proofErr w:type="spellEnd"/>
                  <w:r w:rsidRPr="00D833E7">
                    <w:rPr>
                      <w:rFonts w:ascii="Arial" w:hAnsi="Arial" w:cs="Arial"/>
                      <w:sz w:val="22"/>
                    </w:rPr>
                    <w:t xml:space="preserve">, </w:t>
                  </w:r>
                  <w:proofErr w:type="spellStart"/>
                  <w:r w:rsidRPr="00D833E7">
                    <w:rPr>
                      <w:rFonts w:ascii="Arial" w:hAnsi="Arial" w:cs="Arial"/>
                      <w:sz w:val="22"/>
                    </w:rPr>
                    <w:t>kunststoffherstellende</w:t>
                  </w:r>
                  <w:proofErr w:type="spellEnd"/>
                  <w:r w:rsidRPr="00D833E7">
                    <w:rPr>
                      <w:rFonts w:ascii="Arial" w:hAnsi="Arial" w:cs="Arial"/>
                      <w:sz w:val="22"/>
                    </w:rPr>
                    <w:t xml:space="preserve"> Industrie sowie Lebensmittelindustrie berufen. Die Ergebnisse der Beratungen werden veröffentlicht:</w:t>
                  </w:r>
                </w:p>
                <w:p w:rsidR="00924948" w:rsidRPr="00D833E7" w:rsidRDefault="00924948">
                  <w:pPr>
                    <w:numPr>
                      <w:ilvl w:val="0"/>
                      <w:numId w:val="1"/>
                    </w:numPr>
                    <w:spacing w:before="100" w:beforeAutospacing="1" w:after="100" w:afterAutospacing="1" w:line="360" w:lineRule="auto"/>
                    <w:rPr>
                      <w:rFonts w:ascii="Arial" w:hAnsi="Arial" w:cs="Arial"/>
                      <w:sz w:val="22"/>
                    </w:rPr>
                  </w:pPr>
                  <w:r w:rsidRPr="00D833E7">
                    <w:rPr>
                      <w:rFonts w:ascii="Arial" w:hAnsi="Arial" w:cs="Arial"/>
                      <w:sz w:val="22"/>
                    </w:rPr>
                    <w:t xml:space="preserve">als Mitteilungen zur gesundheitlichen Beurteilung von Kunststoffen im Rahmen des Lebensmittel- und Bedarfsgegenständegesetzes (LMBG), </w:t>
                  </w:r>
                </w:p>
                <w:p w:rsidR="00924948" w:rsidRPr="00D833E7" w:rsidRDefault="00924948">
                  <w:pPr>
                    <w:numPr>
                      <w:ilvl w:val="0"/>
                      <w:numId w:val="1"/>
                    </w:numPr>
                    <w:spacing w:before="100" w:beforeAutospacing="1" w:after="100" w:afterAutospacing="1" w:line="360" w:lineRule="auto"/>
                    <w:rPr>
                      <w:rFonts w:ascii="Arial" w:hAnsi="Arial" w:cs="Arial"/>
                      <w:sz w:val="22"/>
                    </w:rPr>
                  </w:pPr>
                  <w:r w:rsidRPr="00D833E7">
                    <w:rPr>
                      <w:rFonts w:ascii="Arial" w:hAnsi="Arial" w:cs="Arial"/>
                      <w:sz w:val="22"/>
                    </w:rPr>
                    <w:t xml:space="preserve">als Mitteilungen zur Untersuchung von Kunststoffen, soweit sie als Bedarfsgegenstände im Sinne des LMBG verwendet werden, </w:t>
                  </w:r>
                </w:p>
                <w:p w:rsidR="00924948" w:rsidRPr="00D833E7" w:rsidRDefault="00924948">
                  <w:pPr>
                    <w:numPr>
                      <w:ilvl w:val="0"/>
                      <w:numId w:val="1"/>
                    </w:numPr>
                    <w:spacing w:before="100" w:beforeAutospacing="1" w:after="100" w:afterAutospacing="1" w:line="360" w:lineRule="auto"/>
                    <w:rPr>
                      <w:rFonts w:ascii="Arial" w:hAnsi="Arial" w:cs="Arial"/>
                      <w:sz w:val="22"/>
                    </w:rPr>
                  </w:pPr>
                  <w:r w:rsidRPr="00D833E7">
                    <w:rPr>
                      <w:rFonts w:ascii="Arial" w:hAnsi="Arial" w:cs="Arial"/>
                      <w:sz w:val="22"/>
                    </w:rPr>
                    <w:t xml:space="preserve">als Reinheitsanforderungen für Stoffe bzw. Stoffgruppen, die als Additive zur Herstellung von Kunststoffen für den Lebensmittelkontakt verwendet werden </w:t>
                  </w:r>
                </w:p>
                <w:p w:rsidR="00924948" w:rsidRPr="00D833E7" w:rsidRDefault="00924948">
                  <w:pPr>
                    <w:numPr>
                      <w:ilvl w:val="0"/>
                      <w:numId w:val="1"/>
                    </w:numPr>
                    <w:spacing w:before="100" w:beforeAutospacing="1" w:after="100" w:afterAutospacing="1" w:line="360" w:lineRule="auto"/>
                    <w:rPr>
                      <w:rFonts w:ascii="Arial" w:hAnsi="Arial" w:cs="Arial"/>
                      <w:sz w:val="22"/>
                    </w:rPr>
                  </w:pPr>
                  <w:r w:rsidRPr="00D833E7">
                    <w:rPr>
                      <w:rFonts w:ascii="Arial" w:hAnsi="Arial" w:cs="Arial"/>
                      <w:sz w:val="22"/>
                    </w:rPr>
                    <w:t xml:space="preserve">sowie als Beurteilungsgrundlagen für Mikrowellengeschirr, Hygienepapiere und Intimhygieneerzeugnisse. </w:t>
                  </w:r>
                </w:p>
                <w:p w:rsidR="00924948" w:rsidRPr="00D833E7" w:rsidRDefault="00924948">
                  <w:pPr>
                    <w:pStyle w:val="tekst"/>
                    <w:rPr>
                      <w:color w:val="auto"/>
                      <w:sz w:val="22"/>
                      <w:szCs w:val="24"/>
                    </w:rPr>
                  </w:pPr>
                  <w:r w:rsidRPr="00D833E7">
                    <w:rPr>
                      <w:color w:val="auto"/>
                      <w:sz w:val="22"/>
                      <w:szCs w:val="24"/>
                    </w:rPr>
                    <w:t>In diesen Empfehlungen sind die Kriterien festgelegt, unter denen Bedarfsgegenstände aus Kunststoffen und anderen Polymeren den Anforderungen des § 31 LMBG entsprechen. Für die Aufnahme eines neuen Stoff</w:t>
                  </w:r>
                  <w:r w:rsidR="004520C5" w:rsidRPr="00D833E7">
                    <w:rPr>
                      <w:color w:val="auto"/>
                      <w:sz w:val="22"/>
                      <w:szCs w:val="24"/>
                    </w:rPr>
                    <w:t>es</w:t>
                  </w:r>
                  <w:r w:rsidRPr="00D833E7">
                    <w:rPr>
                      <w:color w:val="auto"/>
                      <w:sz w:val="22"/>
                      <w:szCs w:val="24"/>
                    </w:rPr>
                    <w:t xml:space="preserve"> in eine Kommissions-Empfehlung sind entsprechende Anträge zu stellen. Hierzu ist fundiertes Datenmaterial vom Antragsteller vorzulegen, wie:</w:t>
                  </w:r>
                </w:p>
                <w:p w:rsidR="00924948" w:rsidRPr="00D833E7" w:rsidRDefault="00924948">
                  <w:pPr>
                    <w:numPr>
                      <w:ilvl w:val="0"/>
                      <w:numId w:val="2"/>
                    </w:numPr>
                    <w:spacing w:before="100" w:beforeAutospacing="1" w:after="100" w:afterAutospacing="1" w:line="360" w:lineRule="auto"/>
                    <w:rPr>
                      <w:rFonts w:ascii="Arial" w:hAnsi="Arial" w:cs="Arial"/>
                      <w:sz w:val="22"/>
                    </w:rPr>
                  </w:pPr>
                  <w:r w:rsidRPr="00D833E7">
                    <w:rPr>
                      <w:rFonts w:ascii="Arial" w:hAnsi="Arial" w:cs="Arial"/>
                      <w:sz w:val="22"/>
                    </w:rPr>
                    <w:t xml:space="preserve">Migrationsdaten </w:t>
                  </w:r>
                </w:p>
                <w:p w:rsidR="00924948" w:rsidRPr="00D833E7" w:rsidRDefault="00924948">
                  <w:pPr>
                    <w:numPr>
                      <w:ilvl w:val="0"/>
                      <w:numId w:val="2"/>
                    </w:numPr>
                    <w:spacing w:before="100" w:beforeAutospacing="1" w:after="100" w:afterAutospacing="1" w:line="360" w:lineRule="auto"/>
                    <w:rPr>
                      <w:rFonts w:ascii="Arial" w:hAnsi="Arial" w:cs="Arial"/>
                      <w:sz w:val="22"/>
                    </w:rPr>
                  </w:pPr>
                  <w:r w:rsidRPr="00D833E7">
                    <w:rPr>
                      <w:rFonts w:ascii="Arial" w:hAnsi="Arial" w:cs="Arial"/>
                      <w:sz w:val="22"/>
                    </w:rPr>
                    <w:t xml:space="preserve">Analysenmethoden </w:t>
                  </w:r>
                </w:p>
                <w:p w:rsidR="00924948" w:rsidRPr="00D833E7" w:rsidRDefault="00924948">
                  <w:pPr>
                    <w:numPr>
                      <w:ilvl w:val="0"/>
                      <w:numId w:val="2"/>
                    </w:numPr>
                    <w:spacing w:before="100" w:beforeAutospacing="1" w:after="100" w:afterAutospacing="1" w:line="360" w:lineRule="auto"/>
                    <w:rPr>
                      <w:rFonts w:ascii="Arial" w:hAnsi="Arial" w:cs="Arial"/>
                      <w:sz w:val="22"/>
                    </w:rPr>
                  </w:pPr>
                  <w:r w:rsidRPr="00D833E7">
                    <w:rPr>
                      <w:rFonts w:ascii="Arial" w:hAnsi="Arial" w:cs="Arial"/>
                      <w:sz w:val="22"/>
                    </w:rPr>
                    <w:lastRenderedPageBreak/>
                    <w:t xml:space="preserve">toxikologische Untersuchungen. </w:t>
                  </w:r>
                </w:p>
                <w:p w:rsidR="00924948" w:rsidRPr="00D833E7" w:rsidRDefault="00924948">
                  <w:pPr>
                    <w:pStyle w:val="StandardWeb"/>
                    <w:spacing w:line="360" w:lineRule="auto"/>
                    <w:rPr>
                      <w:rFonts w:ascii="Arial" w:hAnsi="Arial" w:cs="Arial"/>
                      <w:sz w:val="22"/>
                    </w:rPr>
                  </w:pPr>
                  <w:r w:rsidRPr="00D833E7">
                    <w:rPr>
                      <w:rFonts w:ascii="Arial" w:hAnsi="Arial" w:cs="Arial"/>
                      <w:sz w:val="22"/>
                    </w:rPr>
                    <w:t xml:space="preserve">Die Vorgehensweise von </w:t>
                  </w:r>
                  <w:proofErr w:type="spellStart"/>
                  <w:r w:rsidRPr="00D833E7">
                    <w:rPr>
                      <w:rFonts w:ascii="Arial" w:hAnsi="Arial" w:cs="Arial"/>
                      <w:sz w:val="22"/>
                    </w:rPr>
                    <w:t>BgVV</w:t>
                  </w:r>
                  <w:proofErr w:type="spellEnd"/>
                  <w:r w:rsidRPr="00D833E7">
                    <w:rPr>
                      <w:rFonts w:ascii="Arial" w:hAnsi="Arial" w:cs="Arial"/>
                      <w:sz w:val="22"/>
                    </w:rPr>
                    <w:t xml:space="preserve"> und Kunststoff-Kommission unterscheidet sich in zwei Punkten grundsätzlich von dem Verfahren bei der EU. So wird: </w:t>
                  </w:r>
                </w:p>
                <w:p w:rsidR="00924948" w:rsidRPr="00D833E7" w:rsidRDefault="00924948">
                  <w:pPr>
                    <w:numPr>
                      <w:ilvl w:val="0"/>
                      <w:numId w:val="3"/>
                    </w:numPr>
                    <w:spacing w:before="100" w:beforeAutospacing="1" w:after="100" w:afterAutospacing="1" w:line="360" w:lineRule="auto"/>
                    <w:rPr>
                      <w:rFonts w:ascii="Arial" w:hAnsi="Arial" w:cs="Arial"/>
                      <w:sz w:val="22"/>
                    </w:rPr>
                  </w:pPr>
                  <w:r w:rsidRPr="00D833E7">
                    <w:rPr>
                      <w:rFonts w:ascii="Arial" w:hAnsi="Arial" w:cs="Arial"/>
                      <w:sz w:val="22"/>
                    </w:rPr>
                    <w:t xml:space="preserve">für jeden Kunststofftyp, wie z.B. Hart-PVC, Polyethylen usw. eine separate Positivliste mit den zugelassenen Stoffen erstellt und </w:t>
                  </w:r>
                </w:p>
                <w:p w:rsidR="00924948" w:rsidRPr="00D833E7" w:rsidRDefault="00924948">
                  <w:pPr>
                    <w:numPr>
                      <w:ilvl w:val="0"/>
                      <w:numId w:val="3"/>
                    </w:numPr>
                    <w:spacing w:before="100" w:beforeAutospacing="1" w:after="100" w:afterAutospacing="1" w:line="360" w:lineRule="auto"/>
                    <w:rPr>
                      <w:rFonts w:ascii="Arial" w:hAnsi="Arial" w:cs="Arial"/>
                      <w:sz w:val="22"/>
                    </w:rPr>
                  </w:pPr>
                  <w:r w:rsidRPr="00D833E7">
                    <w:rPr>
                      <w:rFonts w:ascii="Arial" w:hAnsi="Arial" w:cs="Arial"/>
                      <w:sz w:val="22"/>
                    </w:rPr>
                    <w:t xml:space="preserve">jeder Einzelstoff nur in der Einsatzmenge akzeptiert, die technisch unbedingt erforderlich ist, wobei der daraus resultierende mögliche Übergang auf Lebensmittel selbstverständlich gesundheitlich unbedenklich sein </w:t>
                  </w:r>
                  <w:r w:rsidR="004520C5" w:rsidRPr="00D833E7">
                    <w:rPr>
                      <w:rFonts w:ascii="Arial" w:hAnsi="Arial" w:cs="Arial"/>
                      <w:sz w:val="22"/>
                    </w:rPr>
                    <w:t>muss</w:t>
                  </w:r>
                  <w:r w:rsidRPr="00D833E7">
                    <w:rPr>
                      <w:rFonts w:ascii="Arial" w:hAnsi="Arial" w:cs="Arial"/>
                      <w:sz w:val="22"/>
                    </w:rPr>
                    <w:t xml:space="preserve">. </w:t>
                  </w:r>
                </w:p>
                <w:p w:rsidR="00924948" w:rsidRPr="00D833E7" w:rsidRDefault="00924948">
                  <w:pPr>
                    <w:pStyle w:val="StandardWeb"/>
                    <w:spacing w:line="360" w:lineRule="auto"/>
                    <w:rPr>
                      <w:rFonts w:ascii="Arial" w:hAnsi="Arial" w:cs="Arial"/>
                      <w:sz w:val="22"/>
                    </w:rPr>
                  </w:pPr>
                  <w:r w:rsidRPr="00D833E7">
                    <w:rPr>
                      <w:rFonts w:ascii="Arial" w:hAnsi="Arial" w:cs="Arial"/>
                      <w:sz w:val="22"/>
                    </w:rPr>
                    <w:t>Die Arbeit der Kunststoff-Kommission bezieht sich auch auf Materialgruppen, die durch die EU noch nicht geregelt sind.</w:t>
                  </w:r>
                </w:p>
                <w:p w:rsidR="00924948" w:rsidRPr="00D833E7" w:rsidRDefault="00924948">
                  <w:pPr>
                    <w:pStyle w:val="StandardWeb"/>
                    <w:spacing w:line="360" w:lineRule="auto"/>
                    <w:rPr>
                      <w:rFonts w:ascii="Arial" w:hAnsi="Arial" w:cs="Arial"/>
                      <w:sz w:val="22"/>
                    </w:rPr>
                  </w:pPr>
                  <w:r w:rsidRPr="00D833E7">
                    <w:rPr>
                      <w:rFonts w:ascii="Arial" w:hAnsi="Arial" w:cs="Arial"/>
                      <w:sz w:val="22"/>
                    </w:rPr>
                    <w:t>Die EU praktiziert das ADI/TDI</w:t>
                  </w:r>
                  <w:r w:rsidR="004520C5" w:rsidRPr="00D833E7">
                    <w:rPr>
                      <w:rFonts w:ascii="Arial" w:hAnsi="Arial" w:cs="Arial"/>
                      <w:sz w:val="22"/>
                    </w:rPr>
                    <w:t xml:space="preserve"> </w:t>
                  </w:r>
                  <w:r w:rsidRPr="00D833E7">
                    <w:rPr>
                      <w:rFonts w:ascii="Arial" w:hAnsi="Arial" w:cs="Arial"/>
                      <w:sz w:val="22"/>
                    </w:rPr>
                    <w:t>(</w:t>
                  </w:r>
                  <w:proofErr w:type="spellStart"/>
                  <w:r w:rsidRPr="00D833E7">
                    <w:rPr>
                      <w:rFonts w:ascii="Arial" w:hAnsi="Arial" w:cs="Arial"/>
                      <w:sz w:val="22"/>
                    </w:rPr>
                    <w:t>Acceptable</w:t>
                  </w:r>
                  <w:proofErr w:type="spellEnd"/>
                  <w:r w:rsidRPr="00D833E7">
                    <w:rPr>
                      <w:rFonts w:ascii="Arial" w:hAnsi="Arial" w:cs="Arial"/>
                      <w:sz w:val="22"/>
                    </w:rPr>
                    <w:t xml:space="preserve"> bzw. Tolerable Daily </w:t>
                  </w:r>
                  <w:proofErr w:type="spellStart"/>
                  <w:r w:rsidRPr="00D833E7">
                    <w:rPr>
                      <w:rFonts w:ascii="Arial" w:hAnsi="Arial" w:cs="Arial"/>
                      <w:sz w:val="22"/>
                    </w:rPr>
                    <w:t>Intake</w:t>
                  </w:r>
                  <w:proofErr w:type="spellEnd"/>
                  <w:r w:rsidRPr="00D833E7">
                    <w:rPr>
                      <w:rFonts w:ascii="Arial" w:hAnsi="Arial" w:cs="Arial"/>
                      <w:sz w:val="22"/>
                    </w:rPr>
                    <w:t>)-Konzept, in dem das toxikologisch Mögliche festgelegt wird, während die technische Unvermeidbarkeit nur eine untergeordnete Rolle spielt. So regelt die EU mit der Richtlinie 90/128/EWG und ihren Ergänzungen nunmehr die monomeren Ausgangsstoffe zur Herstellung von Kunststoffen im Kontakt mit Lebensmitteln und einen Teil der Additive. Diese Kunststoffadditive sind in der Richtlinie 95/3/EG geregelt, weitere Additive sind vom Wissenschaftlichen Lebensmittelausschu</w:t>
                  </w:r>
                  <w:r w:rsidR="004520C5" w:rsidRPr="00D833E7">
                    <w:rPr>
                      <w:rFonts w:ascii="Arial" w:hAnsi="Arial" w:cs="Arial"/>
                      <w:sz w:val="22"/>
                    </w:rPr>
                    <w:t>ss</w:t>
                  </w:r>
                  <w:r w:rsidRPr="00D833E7">
                    <w:rPr>
                      <w:rFonts w:ascii="Arial" w:hAnsi="Arial" w:cs="Arial"/>
                      <w:sz w:val="22"/>
                    </w:rPr>
                    <w:t xml:space="preserve"> der EU-Kommission (SCF) bewertet und im sogenannten </w:t>
                  </w:r>
                  <w:proofErr w:type="spellStart"/>
                  <w:r w:rsidRPr="00D833E7">
                    <w:rPr>
                      <w:rFonts w:ascii="Arial" w:hAnsi="Arial" w:cs="Arial"/>
                      <w:b/>
                      <w:bCs/>
                      <w:i/>
                      <w:iCs/>
                      <w:sz w:val="22"/>
                    </w:rPr>
                    <w:t>Synoptic</w:t>
                  </w:r>
                  <w:proofErr w:type="spellEnd"/>
                  <w:r w:rsidRPr="00D833E7">
                    <w:rPr>
                      <w:rFonts w:ascii="Arial" w:hAnsi="Arial" w:cs="Arial"/>
                      <w:b/>
                      <w:bCs/>
                      <w:i/>
                      <w:iCs/>
                      <w:sz w:val="22"/>
                    </w:rPr>
                    <w:t xml:space="preserve"> </w:t>
                  </w:r>
                  <w:proofErr w:type="spellStart"/>
                  <w:r w:rsidRPr="00D833E7">
                    <w:rPr>
                      <w:rFonts w:ascii="Arial" w:hAnsi="Arial" w:cs="Arial"/>
                      <w:b/>
                      <w:bCs/>
                      <w:i/>
                      <w:iCs/>
                      <w:sz w:val="22"/>
                    </w:rPr>
                    <w:t>Document</w:t>
                  </w:r>
                  <w:proofErr w:type="spellEnd"/>
                  <w:r w:rsidRPr="00D833E7">
                    <w:rPr>
                      <w:rFonts w:ascii="Arial" w:hAnsi="Arial" w:cs="Arial"/>
                      <w:sz w:val="22"/>
                    </w:rPr>
                    <w:t xml:space="preserve"> der EU-Kommission bekanntgegeben worden.</w:t>
                  </w:r>
                </w:p>
                <w:p w:rsidR="00924948" w:rsidRPr="00D833E7" w:rsidRDefault="00924948">
                  <w:pPr>
                    <w:pStyle w:val="StandardWeb"/>
                    <w:spacing w:line="360" w:lineRule="auto"/>
                    <w:rPr>
                      <w:rFonts w:ascii="Arial" w:hAnsi="Arial" w:cs="Arial"/>
                      <w:sz w:val="22"/>
                    </w:rPr>
                  </w:pPr>
                  <w:r w:rsidRPr="00D833E7">
                    <w:rPr>
                      <w:rFonts w:ascii="Arial" w:hAnsi="Arial" w:cs="Arial"/>
                      <w:sz w:val="22"/>
                    </w:rPr>
                    <w:t xml:space="preserve">Für jeden, der in dieses hochkomplexe und äußerst umfangreiche Arbeitsgebiet der "Food </w:t>
                  </w:r>
                  <w:proofErr w:type="spellStart"/>
                  <w:r w:rsidRPr="00D833E7">
                    <w:rPr>
                      <w:rFonts w:ascii="Arial" w:hAnsi="Arial" w:cs="Arial"/>
                      <w:sz w:val="22"/>
                    </w:rPr>
                    <w:t>Contact</w:t>
                  </w:r>
                  <w:proofErr w:type="spellEnd"/>
                  <w:r w:rsidRPr="00D833E7">
                    <w:rPr>
                      <w:rFonts w:ascii="Arial" w:hAnsi="Arial" w:cs="Arial"/>
                      <w:sz w:val="22"/>
                    </w:rPr>
                    <w:t xml:space="preserve"> Materials" etwas tiefer eindringen möchte, sei an dieser Stelle noch auf zwei interessante Publikationen hingewiesen:</w:t>
                  </w:r>
                </w:p>
                <w:p w:rsidR="00924948" w:rsidRPr="00D833E7" w:rsidRDefault="00924948">
                  <w:pPr>
                    <w:numPr>
                      <w:ilvl w:val="0"/>
                      <w:numId w:val="4"/>
                    </w:numPr>
                    <w:spacing w:before="100" w:beforeAutospacing="1" w:after="100" w:afterAutospacing="1" w:line="360" w:lineRule="auto"/>
                    <w:rPr>
                      <w:rFonts w:ascii="Arial" w:hAnsi="Arial" w:cs="Arial"/>
                      <w:sz w:val="22"/>
                    </w:rPr>
                  </w:pPr>
                  <w:r w:rsidRPr="00D833E7">
                    <w:rPr>
                      <w:rFonts w:ascii="Arial" w:hAnsi="Arial" w:cs="Arial"/>
                      <w:sz w:val="22"/>
                    </w:rPr>
                    <w:t xml:space="preserve">als Druckmedium liegt vor: </w:t>
                  </w:r>
                  <w:proofErr w:type="spellStart"/>
                  <w:r w:rsidRPr="00D833E7">
                    <w:rPr>
                      <w:rFonts w:ascii="Arial" w:hAnsi="Arial" w:cs="Arial"/>
                      <w:sz w:val="22"/>
                    </w:rPr>
                    <w:t>BgVV-Hefte</w:t>
                  </w:r>
                  <w:proofErr w:type="spellEnd"/>
                  <w:r w:rsidRPr="00D833E7">
                    <w:rPr>
                      <w:rFonts w:ascii="Arial" w:hAnsi="Arial" w:cs="Arial"/>
                      <w:sz w:val="22"/>
                    </w:rPr>
                    <w:t xml:space="preserve"> 04/1998 "Gesundheitliche Beurteilung von Kunststoffen im Kontakt mit Lebensmitteln" , </w:t>
                  </w:r>
                  <w:proofErr w:type="spellStart"/>
                  <w:r w:rsidRPr="00D833E7">
                    <w:rPr>
                      <w:rFonts w:ascii="Arial" w:hAnsi="Arial" w:cs="Arial"/>
                      <w:sz w:val="22"/>
                    </w:rPr>
                    <w:t>BgVV</w:t>
                  </w:r>
                  <w:proofErr w:type="spellEnd"/>
                  <w:r w:rsidRPr="00D833E7">
                    <w:rPr>
                      <w:rFonts w:ascii="Arial" w:hAnsi="Arial" w:cs="Arial"/>
                      <w:sz w:val="22"/>
                    </w:rPr>
                    <w:t xml:space="preserve"> Berlin 1998 (85 Seiten), ISBN 3-931675-27-0 </w:t>
                  </w:r>
                </w:p>
                <w:p w:rsidR="00924948" w:rsidRPr="00D833E7" w:rsidRDefault="00924948">
                  <w:pPr>
                    <w:numPr>
                      <w:ilvl w:val="0"/>
                      <w:numId w:val="4"/>
                    </w:numPr>
                    <w:spacing w:before="100" w:beforeAutospacing="1" w:after="100" w:afterAutospacing="1" w:line="360" w:lineRule="auto"/>
                    <w:rPr>
                      <w:rFonts w:ascii="Arial" w:hAnsi="Arial" w:cs="Arial"/>
                      <w:sz w:val="22"/>
                      <w:lang w:val="en-US"/>
                    </w:rPr>
                  </w:pPr>
                  <w:proofErr w:type="spellStart"/>
                  <w:r w:rsidRPr="00D833E7">
                    <w:rPr>
                      <w:rFonts w:ascii="Arial" w:hAnsi="Arial" w:cs="Arial"/>
                      <w:sz w:val="22"/>
                      <w:lang w:val="en-US"/>
                    </w:rPr>
                    <w:t>als</w:t>
                  </w:r>
                  <w:proofErr w:type="spellEnd"/>
                  <w:r w:rsidRPr="00D833E7">
                    <w:rPr>
                      <w:rFonts w:ascii="Arial" w:hAnsi="Arial" w:cs="Arial"/>
                      <w:sz w:val="22"/>
                      <w:lang w:val="en-US"/>
                    </w:rPr>
                    <w:t xml:space="preserve"> </w:t>
                  </w:r>
                  <w:proofErr w:type="spellStart"/>
                  <w:r w:rsidRPr="00D833E7">
                    <w:rPr>
                      <w:rFonts w:ascii="Arial" w:hAnsi="Arial" w:cs="Arial"/>
                      <w:sz w:val="22"/>
                      <w:lang w:val="en-US"/>
                    </w:rPr>
                    <w:t>elektronisches</w:t>
                  </w:r>
                  <w:proofErr w:type="spellEnd"/>
                  <w:r w:rsidRPr="00D833E7">
                    <w:rPr>
                      <w:rFonts w:ascii="Arial" w:hAnsi="Arial" w:cs="Arial"/>
                      <w:sz w:val="22"/>
                      <w:lang w:val="en-US"/>
                    </w:rPr>
                    <w:t xml:space="preserve"> Medium: The final Internet website for Food Contact Materials: </w:t>
                  </w:r>
                  <w:hyperlink r:id="rId9" w:history="1">
                    <w:r w:rsidRPr="00D833E7">
                      <w:rPr>
                        <w:rStyle w:val="Hyperlink"/>
                        <w:color w:val="auto"/>
                        <w:sz w:val="22"/>
                        <w:szCs w:val="24"/>
                        <w:lang w:val="en-US"/>
                      </w:rPr>
                      <w:t>http://cpf.jrc.it./webpack/</w:t>
                    </w:r>
                  </w:hyperlink>
                  <w:r w:rsidRPr="00D833E7">
                    <w:rPr>
                      <w:rFonts w:ascii="Arial" w:hAnsi="Arial" w:cs="Arial"/>
                      <w:sz w:val="22"/>
                      <w:lang w:val="en-US"/>
                    </w:rPr>
                    <w:t xml:space="preserve"> </w:t>
                  </w:r>
                </w:p>
                <w:p w:rsidR="00D833E7" w:rsidRDefault="00924948" w:rsidP="00D833E7">
                  <w:pPr>
                    <w:pStyle w:val="tekst"/>
                    <w:rPr>
                      <w:color w:val="auto"/>
                      <w:sz w:val="22"/>
                      <w:szCs w:val="24"/>
                    </w:rPr>
                  </w:pPr>
                  <w:r w:rsidRPr="00D833E7">
                    <w:rPr>
                      <w:color w:val="auto"/>
                      <w:sz w:val="22"/>
                      <w:szCs w:val="24"/>
                    </w:rPr>
                    <w:t xml:space="preserve">Die Website wird vom Joint Research Centre der Europäischen Kommission (JRC) in </w:t>
                  </w:r>
                  <w:proofErr w:type="spellStart"/>
                  <w:r w:rsidRPr="00D833E7">
                    <w:rPr>
                      <w:color w:val="auto"/>
                      <w:sz w:val="22"/>
                      <w:szCs w:val="24"/>
                    </w:rPr>
                    <w:t>Ispra</w:t>
                  </w:r>
                  <w:proofErr w:type="spellEnd"/>
                  <w:r w:rsidRPr="00D833E7">
                    <w:rPr>
                      <w:color w:val="auto"/>
                      <w:sz w:val="22"/>
                      <w:szCs w:val="24"/>
                    </w:rPr>
                    <w:t xml:space="preserve"> herausgegeben. Über das Internet können Informationen zur Rechtssetzung, zu Grundlagen, Analysenmethoden und weiterführenden Gebieten abgerufen werden. Auf diese Weise sind auch das </w:t>
                  </w:r>
                  <w:proofErr w:type="spellStart"/>
                  <w:r w:rsidRPr="00D833E7">
                    <w:rPr>
                      <w:b/>
                      <w:bCs/>
                      <w:i/>
                      <w:iCs/>
                      <w:color w:val="auto"/>
                      <w:sz w:val="22"/>
                      <w:szCs w:val="24"/>
                    </w:rPr>
                    <w:t>Synoptic</w:t>
                  </w:r>
                  <w:proofErr w:type="spellEnd"/>
                  <w:r w:rsidRPr="00D833E7">
                    <w:rPr>
                      <w:b/>
                      <w:bCs/>
                      <w:i/>
                      <w:iCs/>
                      <w:color w:val="auto"/>
                      <w:sz w:val="22"/>
                      <w:szCs w:val="24"/>
                    </w:rPr>
                    <w:t xml:space="preserve"> </w:t>
                  </w:r>
                  <w:proofErr w:type="spellStart"/>
                  <w:r w:rsidRPr="00D833E7">
                    <w:rPr>
                      <w:b/>
                      <w:bCs/>
                      <w:i/>
                      <w:iCs/>
                      <w:color w:val="auto"/>
                      <w:sz w:val="22"/>
                      <w:szCs w:val="24"/>
                    </w:rPr>
                    <w:t>Document</w:t>
                  </w:r>
                  <w:proofErr w:type="spellEnd"/>
                  <w:r w:rsidRPr="00D833E7">
                    <w:rPr>
                      <w:color w:val="auto"/>
                      <w:sz w:val="22"/>
                      <w:szCs w:val="24"/>
                    </w:rPr>
                    <w:t xml:space="preserve"> in der neuesten Version sowie der </w:t>
                  </w:r>
                  <w:proofErr w:type="spellStart"/>
                  <w:r w:rsidRPr="00D833E7">
                    <w:rPr>
                      <w:b/>
                      <w:bCs/>
                      <w:i/>
                      <w:iCs/>
                      <w:color w:val="auto"/>
                      <w:sz w:val="22"/>
                      <w:szCs w:val="24"/>
                    </w:rPr>
                    <w:t>Practical</w:t>
                  </w:r>
                  <w:proofErr w:type="spellEnd"/>
                  <w:r w:rsidRPr="00D833E7">
                    <w:rPr>
                      <w:b/>
                      <w:bCs/>
                      <w:i/>
                      <w:iCs/>
                      <w:color w:val="auto"/>
                      <w:sz w:val="22"/>
                      <w:szCs w:val="24"/>
                    </w:rPr>
                    <w:t xml:space="preserve"> Guide</w:t>
                  </w:r>
                  <w:r w:rsidRPr="00D833E7">
                    <w:rPr>
                      <w:color w:val="auto"/>
                      <w:sz w:val="22"/>
                      <w:szCs w:val="24"/>
                    </w:rPr>
                    <w:t xml:space="preserve"> und andere Papiere zugänglich. </w:t>
                  </w:r>
                </w:p>
                <w:p w:rsidR="00D833E7" w:rsidRPr="00D833E7" w:rsidRDefault="00386AA8">
                  <w:pPr>
                    <w:pStyle w:val="tekst"/>
                    <w:rPr>
                      <w:color w:val="auto"/>
                      <w:sz w:val="22"/>
                      <w:szCs w:val="24"/>
                    </w:rPr>
                  </w:pPr>
                  <w:r>
                    <w:rPr>
                      <w:i/>
                      <w:color w:val="000000"/>
                      <w:sz w:val="22"/>
                      <w:szCs w:val="19"/>
                    </w:rPr>
                    <w:t>SÜSSWAREN (1999</w:t>
                  </w:r>
                  <w:r w:rsidR="00D833E7" w:rsidRPr="00C13173">
                    <w:rPr>
                      <w:i/>
                      <w:color w:val="000000"/>
                      <w:sz w:val="22"/>
                      <w:szCs w:val="19"/>
                    </w:rPr>
                    <w:t>) Heft 1</w:t>
                  </w:r>
                  <w:r w:rsidR="00D833E7">
                    <w:rPr>
                      <w:i/>
                      <w:color w:val="000000"/>
                      <w:sz w:val="22"/>
                      <w:szCs w:val="19"/>
                    </w:rPr>
                    <w:t>-2</w:t>
                  </w:r>
                </w:p>
              </w:tc>
            </w:tr>
          </w:tbl>
          <w:p w:rsidR="00CC2AB5" w:rsidRPr="00D833E7" w:rsidRDefault="00CC2AB5">
            <w:pPr>
              <w:spacing w:line="360" w:lineRule="auto"/>
              <w:rPr>
                <w:rFonts w:ascii="Arial" w:hAnsi="Arial" w:cs="Arial"/>
                <w:b/>
                <w:bCs/>
                <w:i/>
                <w:iCs/>
              </w:rPr>
            </w:pPr>
          </w:p>
        </w:tc>
      </w:tr>
      <w:tr w:rsidR="00CC2AB5" w:rsidTr="00D833E7">
        <w:trPr>
          <w:tblCellSpacing w:w="0" w:type="dxa"/>
          <w:jc w:val="center"/>
        </w:trPr>
        <w:tc>
          <w:tcPr>
            <w:tcW w:w="0" w:type="auto"/>
            <w:vAlign w:val="center"/>
            <w:hideMark/>
          </w:tcPr>
          <w:p w:rsidR="00CC2AB5" w:rsidRPr="00D833E7" w:rsidRDefault="00CC2AB5">
            <w:pPr>
              <w:pStyle w:val="StandardWeb"/>
              <w:spacing w:line="360" w:lineRule="auto"/>
              <w:rPr>
                <w:rFonts w:ascii="Arial" w:hAnsi="Arial" w:cs="Arial"/>
              </w:rPr>
            </w:pPr>
          </w:p>
        </w:tc>
      </w:tr>
      <w:tr w:rsidR="00CD2841" w:rsidTr="00D833E7">
        <w:trPr>
          <w:tblCellSpacing w:w="0" w:type="dxa"/>
          <w:jc w:val="center"/>
        </w:trPr>
        <w:tc>
          <w:tcPr>
            <w:tcW w:w="0" w:type="auto"/>
            <w:vAlign w:val="center"/>
            <w:hideMark/>
          </w:tcPr>
          <w:p w:rsidR="00CD2841" w:rsidRPr="00D833E7" w:rsidRDefault="00CD2841">
            <w:pPr>
              <w:spacing w:line="360" w:lineRule="auto"/>
              <w:rPr>
                <w:rFonts w:ascii="Arial" w:hAnsi="Arial" w:cs="Arial"/>
                <w:b/>
                <w:bCs/>
                <w:i/>
                <w:iCs/>
              </w:rPr>
            </w:pPr>
          </w:p>
        </w:tc>
      </w:tr>
      <w:tr w:rsidR="00CD2841" w:rsidTr="00D833E7">
        <w:trPr>
          <w:tblCellSpacing w:w="0" w:type="dxa"/>
          <w:jc w:val="center"/>
        </w:trPr>
        <w:tc>
          <w:tcPr>
            <w:tcW w:w="0" w:type="auto"/>
            <w:vAlign w:val="center"/>
            <w:hideMark/>
          </w:tcPr>
          <w:p w:rsidR="00CD2841" w:rsidRPr="00D833E7" w:rsidRDefault="00CD2841">
            <w:pPr>
              <w:pStyle w:val="StandardWeb"/>
              <w:spacing w:line="360" w:lineRule="auto"/>
              <w:rPr>
                <w:rFonts w:ascii="Arial" w:hAnsi="Arial" w:cs="Arial"/>
              </w:rPr>
            </w:pPr>
          </w:p>
        </w:tc>
      </w:tr>
    </w:tbl>
    <w:p w:rsidR="00D833E7" w:rsidRPr="00B5765C" w:rsidRDefault="00D833E7" w:rsidP="00D833E7">
      <w:pPr>
        <w:rPr>
          <w:szCs w:val="22"/>
        </w:rPr>
      </w:pPr>
    </w:p>
    <w:sectPr w:rsidR="00D833E7" w:rsidRPr="00B5765C" w:rsidSect="007D7C5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92D" w:rsidRDefault="00B5592D" w:rsidP="00D833E7">
      <w:r>
        <w:separator/>
      </w:r>
    </w:p>
  </w:endnote>
  <w:endnote w:type="continuationSeparator" w:id="0">
    <w:p w:rsidR="00B5592D" w:rsidRDefault="00B5592D" w:rsidP="00D83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632"/>
      <w:docPartObj>
        <w:docPartGallery w:val="Page Numbers (Bottom of Page)"/>
        <w:docPartUnique/>
      </w:docPartObj>
    </w:sdtPr>
    <w:sdtContent>
      <w:p w:rsidR="00D833E7" w:rsidRDefault="00276DB0">
        <w:pPr>
          <w:pStyle w:val="Fuzeile"/>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D833E7" w:rsidRPr="00D833E7" w:rsidRDefault="00276DB0">
                    <w:pPr>
                      <w:pBdr>
                        <w:top w:val="single" w:sz="4" w:space="1" w:color="7F7F7F" w:themeColor="background1" w:themeShade="7F"/>
                      </w:pBdr>
                      <w:jc w:val="center"/>
                      <w:rPr>
                        <w:rFonts w:ascii="Arial" w:hAnsi="Arial" w:cs="Arial"/>
                        <w:sz w:val="20"/>
                      </w:rPr>
                    </w:pPr>
                    <w:r w:rsidRPr="00D833E7">
                      <w:rPr>
                        <w:rFonts w:ascii="Arial" w:hAnsi="Arial" w:cs="Arial"/>
                        <w:sz w:val="20"/>
                      </w:rPr>
                      <w:fldChar w:fldCharType="begin"/>
                    </w:r>
                    <w:r w:rsidR="00D833E7" w:rsidRPr="00D833E7">
                      <w:rPr>
                        <w:rFonts w:ascii="Arial" w:hAnsi="Arial" w:cs="Arial"/>
                        <w:sz w:val="20"/>
                      </w:rPr>
                      <w:instrText xml:space="preserve"> PAGE   \* MERGEFORMAT </w:instrText>
                    </w:r>
                    <w:r w:rsidRPr="00D833E7">
                      <w:rPr>
                        <w:rFonts w:ascii="Arial" w:hAnsi="Arial" w:cs="Arial"/>
                        <w:sz w:val="20"/>
                      </w:rPr>
                      <w:fldChar w:fldCharType="separate"/>
                    </w:r>
                    <w:r w:rsidR="00386AA8">
                      <w:rPr>
                        <w:rFonts w:ascii="Arial" w:hAnsi="Arial" w:cs="Arial"/>
                        <w:noProof/>
                        <w:sz w:val="20"/>
                      </w:rPr>
                      <w:t>2</w:t>
                    </w:r>
                    <w:r w:rsidRPr="00D833E7">
                      <w:rPr>
                        <w:rFonts w:ascii="Arial" w:hAnsi="Arial" w:cs="Arial"/>
                        <w:sz w:val="20"/>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92D" w:rsidRDefault="00B5592D" w:rsidP="00D833E7">
      <w:r>
        <w:separator/>
      </w:r>
    </w:p>
  </w:footnote>
  <w:footnote w:type="continuationSeparator" w:id="0">
    <w:p w:rsidR="00B5592D" w:rsidRDefault="00B5592D" w:rsidP="00D833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EA3"/>
    <w:multiLevelType w:val="multilevel"/>
    <w:tmpl w:val="4258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73796"/>
    <w:multiLevelType w:val="multilevel"/>
    <w:tmpl w:val="6620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10009"/>
    <w:multiLevelType w:val="multilevel"/>
    <w:tmpl w:val="1BFC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97696"/>
    <w:multiLevelType w:val="multilevel"/>
    <w:tmpl w:val="727A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F0560"/>
    <w:rsid w:val="00217731"/>
    <w:rsid w:val="00253538"/>
    <w:rsid w:val="00276DB0"/>
    <w:rsid w:val="002E0C68"/>
    <w:rsid w:val="00386AA8"/>
    <w:rsid w:val="004520C5"/>
    <w:rsid w:val="004E031E"/>
    <w:rsid w:val="005D259E"/>
    <w:rsid w:val="005D41B1"/>
    <w:rsid w:val="00692598"/>
    <w:rsid w:val="007D7C59"/>
    <w:rsid w:val="008A2FA4"/>
    <w:rsid w:val="00924948"/>
    <w:rsid w:val="00A845C1"/>
    <w:rsid w:val="00B10FB8"/>
    <w:rsid w:val="00B21374"/>
    <w:rsid w:val="00B37CC1"/>
    <w:rsid w:val="00B5592D"/>
    <w:rsid w:val="00B5765C"/>
    <w:rsid w:val="00BF0560"/>
    <w:rsid w:val="00CC2AB5"/>
    <w:rsid w:val="00CC43EE"/>
    <w:rsid w:val="00CD2841"/>
    <w:rsid w:val="00D2234A"/>
    <w:rsid w:val="00D81105"/>
    <w:rsid w:val="00D833E7"/>
    <w:rsid w:val="00D931EF"/>
    <w:rsid w:val="00F33C93"/>
    <w:rsid w:val="00F955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7C59"/>
    <w:rPr>
      <w:sz w:val="24"/>
      <w:szCs w:val="24"/>
    </w:rPr>
  </w:style>
  <w:style w:type="paragraph" w:styleId="berschrift4">
    <w:name w:val="heading 4"/>
    <w:basedOn w:val="Standard"/>
    <w:link w:val="berschrift4Zchn"/>
    <w:uiPriority w:val="9"/>
    <w:qFormat/>
    <w:rsid w:val="005D41B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5D41B1"/>
    <w:rPr>
      <w:b/>
      <w:bCs/>
      <w:sz w:val="24"/>
      <w:szCs w:val="24"/>
    </w:rPr>
  </w:style>
  <w:style w:type="paragraph" w:customStyle="1" w:styleId="tekst">
    <w:name w:val="tekst"/>
    <w:basedOn w:val="Standard"/>
    <w:rsid w:val="005D41B1"/>
    <w:pPr>
      <w:spacing w:before="100" w:beforeAutospacing="1" w:after="100" w:afterAutospacing="1" w:line="360" w:lineRule="auto"/>
    </w:pPr>
    <w:rPr>
      <w:rFonts w:ascii="Arial" w:hAnsi="Arial" w:cs="Arial"/>
      <w:color w:val="003366"/>
      <w:sz w:val="21"/>
      <w:szCs w:val="21"/>
    </w:rPr>
  </w:style>
  <w:style w:type="paragraph" w:customStyle="1" w:styleId="bold">
    <w:name w:val="bold"/>
    <w:basedOn w:val="Standard"/>
    <w:rsid w:val="005D41B1"/>
    <w:pPr>
      <w:spacing w:before="100" w:beforeAutospacing="1" w:after="100" w:afterAutospacing="1" w:line="360" w:lineRule="auto"/>
    </w:pPr>
    <w:rPr>
      <w:rFonts w:ascii="Arial" w:hAnsi="Arial" w:cs="Arial"/>
      <w:b/>
      <w:bCs/>
      <w:color w:val="003366"/>
      <w:sz w:val="21"/>
      <w:szCs w:val="21"/>
    </w:rPr>
  </w:style>
  <w:style w:type="paragraph" w:styleId="StandardWeb">
    <w:name w:val="Normal (Web)"/>
    <w:basedOn w:val="Standard"/>
    <w:uiPriority w:val="99"/>
    <w:unhideWhenUsed/>
    <w:rsid w:val="005D41B1"/>
    <w:pPr>
      <w:spacing w:before="100" w:beforeAutospacing="1" w:after="100" w:afterAutospacing="1"/>
    </w:pPr>
  </w:style>
  <w:style w:type="character" w:styleId="Hyperlink">
    <w:name w:val="Hyperlink"/>
    <w:basedOn w:val="Absatz-Standardschriftart"/>
    <w:uiPriority w:val="99"/>
    <w:semiHidden/>
    <w:unhideWhenUsed/>
    <w:rsid w:val="00924948"/>
    <w:rPr>
      <w:rFonts w:ascii="Arial" w:hAnsi="Arial" w:cs="Arial" w:hint="default"/>
      <w:b w:val="0"/>
      <w:bCs w:val="0"/>
      <w:i w:val="0"/>
      <w:iCs w:val="0"/>
      <w:smallCaps w:val="0"/>
      <w:color w:val="0066CC"/>
      <w:sz w:val="18"/>
      <w:szCs w:val="18"/>
      <w:u w:val="single"/>
    </w:rPr>
  </w:style>
  <w:style w:type="paragraph" w:styleId="Kopfzeile">
    <w:name w:val="header"/>
    <w:basedOn w:val="Standard"/>
    <w:link w:val="KopfzeileZchn"/>
    <w:uiPriority w:val="99"/>
    <w:semiHidden/>
    <w:unhideWhenUsed/>
    <w:rsid w:val="00D833E7"/>
    <w:pPr>
      <w:tabs>
        <w:tab w:val="center" w:pos="4536"/>
        <w:tab w:val="right" w:pos="9072"/>
      </w:tabs>
    </w:pPr>
  </w:style>
  <w:style w:type="character" w:customStyle="1" w:styleId="KopfzeileZchn">
    <w:name w:val="Kopfzeile Zchn"/>
    <w:basedOn w:val="Absatz-Standardschriftart"/>
    <w:link w:val="Kopfzeile"/>
    <w:uiPriority w:val="99"/>
    <w:semiHidden/>
    <w:rsid w:val="00D833E7"/>
    <w:rPr>
      <w:sz w:val="24"/>
      <w:szCs w:val="24"/>
    </w:rPr>
  </w:style>
  <w:style w:type="paragraph" w:styleId="Fuzeile">
    <w:name w:val="footer"/>
    <w:basedOn w:val="Standard"/>
    <w:link w:val="FuzeileZchn"/>
    <w:uiPriority w:val="99"/>
    <w:semiHidden/>
    <w:unhideWhenUsed/>
    <w:rsid w:val="00D833E7"/>
    <w:pPr>
      <w:tabs>
        <w:tab w:val="center" w:pos="4536"/>
        <w:tab w:val="right" w:pos="9072"/>
      </w:tabs>
    </w:pPr>
  </w:style>
  <w:style w:type="character" w:customStyle="1" w:styleId="FuzeileZchn">
    <w:name w:val="Fußzeile Zchn"/>
    <w:basedOn w:val="Absatz-Standardschriftart"/>
    <w:link w:val="Fuzeile"/>
    <w:uiPriority w:val="99"/>
    <w:semiHidden/>
    <w:rsid w:val="00D833E7"/>
    <w:rPr>
      <w:sz w:val="24"/>
      <w:szCs w:val="24"/>
    </w:rPr>
  </w:style>
</w:styles>
</file>

<file path=word/webSettings.xml><?xml version="1.0" encoding="utf-8"?>
<w:webSettings xmlns:r="http://schemas.openxmlformats.org/officeDocument/2006/relationships" xmlns:w="http://schemas.openxmlformats.org/wordprocessingml/2006/main">
  <w:divs>
    <w:div w:id="261031943">
      <w:bodyDiv w:val="1"/>
      <w:marLeft w:val="0"/>
      <w:marRight w:val="0"/>
      <w:marTop w:val="0"/>
      <w:marBottom w:val="0"/>
      <w:divBdr>
        <w:top w:val="none" w:sz="0" w:space="0" w:color="auto"/>
        <w:left w:val="none" w:sz="0" w:space="0" w:color="auto"/>
        <w:bottom w:val="none" w:sz="0" w:space="0" w:color="auto"/>
        <w:right w:val="none" w:sz="0" w:space="0" w:color="auto"/>
      </w:divBdr>
    </w:div>
    <w:div w:id="661271827">
      <w:bodyDiv w:val="1"/>
      <w:marLeft w:val="0"/>
      <w:marRight w:val="0"/>
      <w:marTop w:val="0"/>
      <w:marBottom w:val="0"/>
      <w:divBdr>
        <w:top w:val="none" w:sz="0" w:space="0" w:color="auto"/>
        <w:left w:val="none" w:sz="0" w:space="0" w:color="auto"/>
        <w:bottom w:val="none" w:sz="0" w:space="0" w:color="auto"/>
        <w:right w:val="none" w:sz="0" w:space="0" w:color="auto"/>
      </w:divBdr>
    </w:div>
    <w:div w:id="716393921">
      <w:bodyDiv w:val="1"/>
      <w:marLeft w:val="0"/>
      <w:marRight w:val="0"/>
      <w:marTop w:val="0"/>
      <w:marBottom w:val="0"/>
      <w:divBdr>
        <w:top w:val="none" w:sz="0" w:space="0" w:color="auto"/>
        <w:left w:val="none" w:sz="0" w:space="0" w:color="auto"/>
        <w:bottom w:val="none" w:sz="0" w:space="0" w:color="auto"/>
        <w:right w:val="none" w:sz="0" w:space="0" w:color="auto"/>
      </w:divBdr>
    </w:div>
    <w:div w:id="1084447980">
      <w:bodyDiv w:val="1"/>
      <w:marLeft w:val="0"/>
      <w:marRight w:val="0"/>
      <w:marTop w:val="0"/>
      <w:marBottom w:val="0"/>
      <w:divBdr>
        <w:top w:val="none" w:sz="0" w:space="0" w:color="auto"/>
        <w:left w:val="none" w:sz="0" w:space="0" w:color="auto"/>
        <w:bottom w:val="none" w:sz="0" w:space="0" w:color="auto"/>
        <w:right w:val="none" w:sz="0" w:space="0" w:color="auto"/>
      </w:divBdr>
    </w:div>
    <w:div w:id="1128666891">
      <w:bodyDiv w:val="1"/>
      <w:marLeft w:val="0"/>
      <w:marRight w:val="0"/>
      <w:marTop w:val="0"/>
      <w:marBottom w:val="0"/>
      <w:divBdr>
        <w:top w:val="none" w:sz="0" w:space="0" w:color="auto"/>
        <w:left w:val="none" w:sz="0" w:space="0" w:color="auto"/>
        <w:bottom w:val="none" w:sz="0" w:space="0" w:color="auto"/>
        <w:right w:val="none" w:sz="0" w:space="0" w:color="auto"/>
      </w:divBdr>
    </w:div>
    <w:div w:id="1254510844">
      <w:bodyDiv w:val="1"/>
      <w:marLeft w:val="0"/>
      <w:marRight w:val="0"/>
      <w:marTop w:val="0"/>
      <w:marBottom w:val="0"/>
      <w:divBdr>
        <w:top w:val="none" w:sz="0" w:space="0" w:color="auto"/>
        <w:left w:val="none" w:sz="0" w:space="0" w:color="auto"/>
        <w:bottom w:val="none" w:sz="0" w:space="0" w:color="auto"/>
        <w:right w:val="none" w:sz="0" w:space="0" w:color="auto"/>
      </w:divBdr>
    </w:div>
    <w:div w:id="1888643709">
      <w:bodyDiv w:val="1"/>
      <w:marLeft w:val="0"/>
      <w:marRight w:val="0"/>
      <w:marTop w:val="0"/>
      <w:marBottom w:val="0"/>
      <w:divBdr>
        <w:top w:val="none" w:sz="0" w:space="0" w:color="auto"/>
        <w:left w:val="none" w:sz="0" w:space="0" w:color="auto"/>
        <w:bottom w:val="none" w:sz="0" w:space="0" w:color="auto"/>
        <w:right w:val="none" w:sz="0" w:space="0" w:color="auto"/>
      </w:divBdr>
    </w:div>
    <w:div w:id="1945729544">
      <w:bodyDiv w:val="1"/>
      <w:marLeft w:val="0"/>
      <w:marRight w:val="0"/>
      <w:marTop w:val="0"/>
      <w:marBottom w:val="0"/>
      <w:divBdr>
        <w:top w:val="none" w:sz="0" w:space="0" w:color="auto"/>
        <w:left w:val="none" w:sz="0" w:space="0" w:color="auto"/>
        <w:bottom w:val="none" w:sz="0" w:space="0" w:color="auto"/>
        <w:right w:val="none" w:sz="0" w:space="0" w:color="auto"/>
      </w:divBdr>
    </w:div>
    <w:div w:id="1956711717">
      <w:bodyDiv w:val="1"/>
      <w:marLeft w:val="0"/>
      <w:marRight w:val="0"/>
      <w:marTop w:val="0"/>
      <w:marBottom w:val="0"/>
      <w:divBdr>
        <w:top w:val="none" w:sz="0" w:space="0" w:color="auto"/>
        <w:left w:val="none" w:sz="0" w:space="0" w:color="auto"/>
        <w:bottom w:val="none" w:sz="0" w:space="0" w:color="auto"/>
        <w:right w:val="none" w:sz="0" w:space="0" w:color="auto"/>
      </w:divBdr>
    </w:div>
    <w:div w:id="1983465095">
      <w:bodyDiv w:val="1"/>
      <w:marLeft w:val="0"/>
      <w:marRight w:val="0"/>
      <w:marTop w:val="0"/>
      <w:marBottom w:val="0"/>
      <w:divBdr>
        <w:top w:val="none" w:sz="0" w:space="0" w:color="auto"/>
        <w:left w:val="none" w:sz="0" w:space="0" w:color="auto"/>
        <w:bottom w:val="none" w:sz="0" w:space="0" w:color="auto"/>
        <w:right w:val="none" w:sz="0" w:space="0" w:color="auto"/>
      </w:divBdr>
    </w:div>
    <w:div w:id="208194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pf.jrc.it./webpack"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24A9-DD41-47DE-B4E5-A21B3466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3-MCPD</vt:lpstr>
    </vt:vector>
  </TitlesOfParts>
  <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3-MCPD</dc:title>
  <dc:creator>LCI</dc:creator>
  <cp:lastModifiedBy>swienty</cp:lastModifiedBy>
  <cp:revision>3</cp:revision>
  <cp:lastPrinted>2003-12-17T12:22:00Z</cp:lastPrinted>
  <dcterms:created xsi:type="dcterms:W3CDTF">2011-01-07T07:09:00Z</dcterms:created>
  <dcterms:modified xsi:type="dcterms:W3CDTF">2011-01-07T07:10:00Z</dcterms:modified>
</cp:coreProperties>
</file>